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Pr>
        <w:drawing>
          <wp:inline distB="0" distT="0" distL="0" distR="0">
            <wp:extent cx="283960" cy="304134"/>
            <wp:effectExtent b="0" l="0" r="0" t="0"/>
            <wp:docPr descr="image.jpeg" id="1" name="image1.jpg"/>
            <a:graphic>
              <a:graphicData uri="http://schemas.openxmlformats.org/drawingml/2006/picture">
                <pic:pic>
                  <pic:nvPicPr>
                    <pic:cNvPr descr="image.jpeg" id="0" name="image1.jpg"/>
                    <pic:cNvPicPr preferRelativeResize="0"/>
                  </pic:nvPicPr>
                  <pic:blipFill>
                    <a:blip r:embed="rId6"/>
                    <a:srcRect b="0" l="0" r="0" t="0"/>
                    <a:stretch>
                      <a:fillRect/>
                    </a:stretch>
                  </pic:blipFill>
                  <pic:spPr>
                    <a:xfrm>
                      <a:off x="0" y="0"/>
                      <a:ext cx="283960" cy="304134"/>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89" w:lineRule="auto"/>
        <w:ind w:left="2"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ISTITUTO STATALE DI ISTRUZIONE SUPERIORE MAGRINI MARCHETTI</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2" w:lineRule="auto"/>
        <w:ind w:left="1467"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Liceo Scientifico Istituto Tecnico settori Economico e Tecnologico</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856"/>
          <w:tab w:val="left" w:leader="none" w:pos="8512"/>
        </w:tabs>
        <w:spacing w:after="0" w:before="0" w:line="267" w:lineRule="auto"/>
        <w:ind w:left="12"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33013 GEMONA DEL FRIULI (UD)  via Praviolai, 18</w:t>
        <w:tab/>
        <w:t xml:space="preserve">tel. 0432/981436-981632</w:t>
        <w:tab/>
        <w:t xml:space="preserve">fax</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 w:lineRule="auto"/>
        <w:ind w:left="11"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Fonts w:ascii="Garamond" w:cs="Garamond" w:eastAsia="Garamond" w:hAnsi="Garamond"/>
          <w:b w:val="1"/>
          <w:i w:val="0"/>
          <w:smallCaps w:val="0"/>
          <w:strike w:val="0"/>
          <w:color w:val="000000"/>
          <w:sz w:val="24"/>
          <w:szCs w:val="24"/>
          <w:u w:val="none"/>
          <w:shd w:fill="auto" w:val="clear"/>
          <w:vertAlign w:val="baseline"/>
          <w:rtl w:val="0"/>
        </w:rPr>
        <w:t xml:space="preserve">0432/970373</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Garamond" w:cs="Garamond" w:eastAsia="Garamond" w:hAnsi="Garamond"/>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Garamond" w:cs="Garamond" w:eastAsia="Garamond" w:hAnsi="Garamond"/>
          <w:b w:val="1"/>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651" w:lineRule="auto"/>
        <w:ind w:left="138" w:right="0" w:firstLine="0"/>
        <w:jc w:val="center"/>
        <w:rPr>
          <w:rFonts w:ascii="Garamond" w:cs="Garamond" w:eastAsia="Garamond" w:hAnsi="Garamond"/>
          <w:b w:val="0"/>
          <w:i w:val="0"/>
          <w:smallCaps w:val="0"/>
          <w:strike w:val="0"/>
          <w:color w:val="000000"/>
          <w:sz w:val="40"/>
          <w:szCs w:val="40"/>
          <w:u w:val="none"/>
          <w:shd w:fill="auto" w:val="clear"/>
          <w:vertAlign w:val="baseline"/>
        </w:rPr>
      </w:pPr>
      <w:r w:rsidDel="00000000" w:rsidR="00000000" w:rsidRPr="00000000">
        <w:rPr>
          <w:rFonts w:ascii="Garamond" w:cs="Garamond" w:eastAsia="Garamond" w:hAnsi="Garamond"/>
          <w:b w:val="0"/>
          <w:i w:val="0"/>
          <w:smallCaps w:val="0"/>
          <w:strike w:val="0"/>
          <w:color w:val="000000"/>
          <w:sz w:val="40"/>
          <w:szCs w:val="40"/>
          <w:u w:val="none"/>
          <w:shd w:fill="auto" w:val="clear"/>
          <w:vertAlign w:val="baseline"/>
          <w:rtl w:val="0"/>
        </w:rPr>
        <w:t xml:space="preserve">D I P A R T I M E N TO  GIURIDICO ECONOMICO</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Garamond" w:cs="Garamond" w:eastAsia="Garamond" w:hAnsi="Garamond"/>
          <w:b w:val="0"/>
          <w:i w:val="0"/>
          <w:smallCaps w:val="0"/>
          <w:strike w:val="0"/>
          <w:color w:val="000000"/>
          <w:sz w:val="33"/>
          <w:szCs w:val="33"/>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0" w:right="0" w:firstLine="0"/>
        <w:jc w:val="center"/>
        <w:rPr>
          <w:rFonts w:ascii="Garamond" w:cs="Garamond" w:eastAsia="Garamond" w:hAnsi="Garamond"/>
          <w:b w:val="0"/>
          <w:i w:val="0"/>
          <w:smallCaps w:val="0"/>
          <w:strike w:val="0"/>
          <w:color w:val="000000"/>
          <w:sz w:val="40"/>
          <w:szCs w:val="40"/>
          <w:u w:val="none"/>
          <w:shd w:fill="auto" w:val="clear"/>
          <w:vertAlign w:val="baseline"/>
        </w:rPr>
      </w:pPr>
      <w:r w:rsidDel="00000000" w:rsidR="00000000" w:rsidRPr="00000000">
        <w:rPr>
          <w:rFonts w:ascii="Garamond" w:cs="Garamond" w:eastAsia="Garamond" w:hAnsi="Garamond"/>
          <w:b w:val="0"/>
          <w:i w:val="0"/>
          <w:smallCaps w:val="0"/>
          <w:strike w:val="0"/>
          <w:color w:val="000000"/>
          <w:sz w:val="40"/>
          <w:szCs w:val="40"/>
          <w:u w:val="none"/>
          <w:shd w:fill="auto" w:val="clear"/>
          <w:vertAlign w:val="baseline"/>
          <w:rtl w:val="0"/>
        </w:rPr>
        <w:t xml:space="preserve">C U R R I C O L O  TERZO ANNO</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0" w:right="0" w:firstLine="0"/>
        <w:jc w:val="center"/>
        <w:rPr>
          <w:rFonts w:ascii="Garamond" w:cs="Garamond" w:eastAsia="Garamond" w:hAnsi="Garamond"/>
          <w:b w:val="0"/>
          <w:i w:val="0"/>
          <w:smallCaps w:val="0"/>
          <w:strike w:val="0"/>
          <w:color w:val="000000"/>
          <w:sz w:val="40"/>
          <w:szCs w:val="40"/>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Garamond" w:cs="Garamond" w:eastAsia="Garamond" w:hAnsi="Garamond"/>
          <w:b w:val="0"/>
          <w:i w:val="0"/>
          <w:smallCaps w:val="0"/>
          <w:strike w:val="0"/>
          <w:color w:val="000000"/>
          <w:sz w:val="44"/>
          <w:szCs w:val="44"/>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0" w:right="0" w:firstLine="0"/>
        <w:jc w:val="left"/>
        <w:rPr>
          <w:rFonts w:ascii="Garamond" w:cs="Garamond" w:eastAsia="Garamond" w:hAnsi="Garamond"/>
          <w:b w:val="0"/>
          <w:i w:val="0"/>
          <w:smallCaps w:val="0"/>
          <w:strike w:val="0"/>
          <w:color w:val="000000"/>
          <w:sz w:val="52"/>
          <w:szCs w:val="52"/>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114" w:right="0" w:firstLine="0"/>
        <w:jc w:val="left"/>
        <w:rPr>
          <w:rFonts w:ascii="Garamond" w:cs="Garamond" w:eastAsia="Garamond" w:hAnsi="Garamond"/>
          <w:b w:val="0"/>
          <w:i w:val="0"/>
          <w:smallCaps w:val="0"/>
          <w:strike w:val="0"/>
          <w:color w:val="000000"/>
          <w:sz w:val="36"/>
          <w:szCs w:val="36"/>
          <w:u w:val="none"/>
          <w:shd w:fill="auto" w:val="clear"/>
          <w:vertAlign w:val="baseline"/>
        </w:rPr>
      </w:pPr>
      <w:r w:rsidDel="00000000" w:rsidR="00000000" w:rsidRPr="00000000">
        <w:rPr>
          <w:rFonts w:ascii="Garamond" w:cs="Garamond" w:eastAsia="Garamond" w:hAnsi="Garamond"/>
          <w:b w:val="0"/>
          <w:i w:val="0"/>
          <w:smallCaps w:val="0"/>
          <w:strike w:val="0"/>
          <w:color w:val="000000"/>
          <w:sz w:val="36"/>
          <w:szCs w:val="36"/>
          <w:u w:val="none"/>
          <w:shd w:fill="auto" w:val="clear"/>
          <w:vertAlign w:val="baseline"/>
          <w:rtl w:val="0"/>
        </w:rPr>
        <w:t xml:space="preserve">ISTITUTO TECNICO ECONOMICO: INDIRIZZO TURISTICO</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00" w:lineRule="auto"/>
        <w:ind w:left="114" w:right="0" w:firstLine="0"/>
        <w:jc w:val="left"/>
        <w:rPr>
          <w:rFonts w:ascii="Garamond" w:cs="Garamond" w:eastAsia="Garamond" w:hAnsi="Garamond"/>
          <w:b w:val="0"/>
          <w:i w:val="0"/>
          <w:smallCaps w:val="0"/>
          <w:strike w:val="0"/>
          <w:color w:val="000000"/>
          <w:sz w:val="36"/>
          <w:szCs w:val="36"/>
          <w:u w:val="none"/>
          <w:shd w:fill="auto" w:val="clear"/>
          <w:vertAlign w:val="baseline"/>
        </w:rPr>
      </w:pPr>
      <w:r w:rsidDel="00000000" w:rsidR="00000000" w:rsidRPr="00000000">
        <w:rPr>
          <w:rFonts w:ascii="Garamond" w:cs="Garamond" w:eastAsia="Garamond" w:hAnsi="Garamond"/>
          <w:b w:val="0"/>
          <w:i w:val="0"/>
          <w:smallCaps w:val="0"/>
          <w:strike w:val="0"/>
          <w:color w:val="000000"/>
          <w:sz w:val="36"/>
          <w:szCs w:val="36"/>
          <w:u w:val="none"/>
          <w:shd w:fill="auto" w:val="clear"/>
          <w:vertAlign w:val="baseline"/>
          <w:rtl w:val="0"/>
        </w:rPr>
        <w:t xml:space="preserve">DISCIPLINA: DIRITTO E LEGISLAZIONE TURISTICA</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PREMESSA</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Il nuovo corso di Diritto e legislazione turistica per il secondo biennio e per il  quinto anno degli istituti tecnici economici a indirizzo turistico si caratterizza per un impianto fortemente innovativo che tiene conto di tutte di tutte le novità legislative che hanno interessato la scuola negli ultimi anni, al fine di sostenere i docenti nel passaggio verso un modello di scuola costantemente attento alle esigenze di una società in continua evoluzione.</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Il nuovo testo </w:t>
      </w: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Viaggiare senza confin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  si caratterizza per un’impostazione basata sulla didattica per casi, con agganci costanti alla realtà al al contesto turistico, adatta per un insegnamento universale di Educazione civica.</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 studio delle materie giuridiche non può prescindere da un confronto continuo con l’attualità, che viene utilizzata come strumento per far comprendere agli studenti l’importanza di conoscere le regole che contraddistinguono il nostro ordinamento giuridico alle quali ciascuno deve attenersi per vivere in una società senza conflitti.</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Una delle caratteristiche del testo è quella di un’approccio didattico basato sulla didattica per competenze, secondo quanto previsto dalle Linee guida della riforma degli istituti tecnici e professionali, che ha visto il superamento di un modello di apprendimento basato sui contenuti disciplinari, andando a sostituire con una programmazione centrata sulle competenze per l’apprendimento permanente.</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1"/>
        <w:tblW w:w="15696.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39"/>
        <w:gridCol w:w="4709"/>
        <w:gridCol w:w="7848"/>
        <w:tblGridChange w:id="0">
          <w:tblGrid>
            <w:gridCol w:w="3139"/>
            <w:gridCol w:w="4709"/>
            <w:gridCol w:w="7848"/>
          </w:tblGrid>
        </w:tblGridChange>
      </w:tblGrid>
      <w:tr>
        <w:trPr>
          <w:cantSplit w:val="0"/>
          <w:trHeight w:val="310"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00099"/>
                <w:sz w:val="24"/>
                <w:szCs w:val="24"/>
                <w:u w:val="none"/>
                <w:shd w:fill="auto" w:val="clear"/>
                <w:vertAlign w:val="baseline"/>
                <w:rtl w:val="0"/>
              </w:rPr>
              <w:t xml:space="preserve">Modulo 1 : INTRODUZIONE AL DIRITTO CIVILE</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2C">
            <w:pPr>
              <w:keepNext w:val="0"/>
              <w:keepLines w:val="0"/>
              <w:widowControl w:val="0"/>
              <w:shd w:fill="auto" w:val="clear"/>
              <w:spacing w:after="0" w:before="0" w:line="240" w:lineRule="auto"/>
              <w:ind w:left="0" w:right="0" w:firstLine="0"/>
              <w:jc w:val="both"/>
              <w:rPr/>
            </w:pPr>
            <w:r w:rsidDel="00000000" w:rsidR="00000000" w:rsidRPr="00000000">
              <w:rPr>
                <w:rFonts w:ascii="Verdana" w:cs="Verdana" w:eastAsia="Verdana" w:hAnsi="Verdana"/>
                <w:b w:val="0"/>
                <w:i w:val="0"/>
                <w:smallCaps w:val="0"/>
                <w:strike w:val="0"/>
                <w:color w:val="011ea9"/>
                <w:sz w:val="16"/>
                <w:szCs w:val="16"/>
                <w:u w:val="none"/>
                <w:shd w:fill="auto" w:val="clear"/>
                <w:vertAlign w:val="baseline"/>
                <w:rtl w:val="0"/>
              </w:rPr>
              <w:t xml:space="preserve">LA NORMA GIURIDICA,I SOGGETTI DEL DIRITTO E IL RAPPORTO GIURIDICO</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2547" w:hRule="atLeast"/>
          <w:tblHeader w:val="0"/>
        </w:trPr>
        <w:tc>
          <w:tcPr>
            <w:tcBorders>
              <w:top w:color="000000" w:space="0" w:sz="4" w:val="single"/>
              <w:left w:color="000000" w:space="0" w:sz="4" w:val="single"/>
              <w:bottom w:color="000000" w:space="0" w:sz="0" w:val="nil"/>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e utilizzare gli strumenti di comunicazione  e di team working piu appropriati per intervenire nei contesti organizzativi e professionali  di riferimento. </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Redigere relazioni tecniche  e documentare le attività individuali e di gruppo relative a situazioni professionali </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nozioni fondamentali del diritto: le norme giuridiche, i rami del diritto, le fonti normative, l’efficacia della legge </w:t>
            </w:r>
          </w:p>
          <w:p w:rsidR="00000000" w:rsidDel="00000000" w:rsidP="00000000" w:rsidRDefault="00000000" w:rsidRPr="00000000" w14:paraId="0000003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60" w:before="60" w:line="240" w:lineRule="auto"/>
              <w:ind w:left="271" w:right="0" w:hanging="271"/>
              <w:jc w:val="left"/>
              <w:rPr>
                <w:rFonts w:ascii="Times New Roman" w:cs="Times New Roman" w:eastAsia="Times New Roman" w:hAnsi="Times New Roman"/>
                <w:b w:val="0"/>
                <w:i w:val="0"/>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soggetti del diritto: le persone fisiche, la capacità giuridica e di agire, i soggetti incapaci, le organizzazioni collettive</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diritti e i beni: i rapporti giuridici e le situazioni giuridiche, con particolare riferimento al diritto soggettivo, i beni</w:t>
            </w: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distinguere il valore delle diverse norme giuridiche </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categorie di soggetti e oggetti del diritto</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Identificare elementi e caratteri dei rapporti giuridici</w:t>
            </w:r>
            <w:r w:rsidDel="00000000" w:rsidR="00000000" w:rsidRPr="00000000">
              <w:rPr>
                <w:rtl w:val="0"/>
              </w:rPr>
            </w:r>
          </w:p>
        </w:tc>
      </w:tr>
      <w:tr>
        <w:trPr>
          <w:cantSplit w:val="0"/>
          <w:trHeight w:val="237" w:hRule="atLeast"/>
          <w:tblHeader w:val="0"/>
        </w:trPr>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Strumenti</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Metodologie</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3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3F">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40">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41">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42">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43">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15696.0" w:type="dxa"/>
        <w:jc w:val="left"/>
        <w:tblInd w:w="108.0" w:type="dxa"/>
        <w:tblBorders>
          <w:top w:color="ffffff" w:space="0" w:sz="8" w:val="single"/>
          <w:left w:color="ffffff" w:space="0" w:sz="8" w:val="single"/>
          <w:bottom w:color="ffffff" w:space="0" w:sz="8" w:val="single"/>
          <w:right w:color="ffffff" w:space="0" w:sz="8" w:val="single"/>
          <w:insideH w:color="0432ff" w:space="0" w:sz="8" w:val="single"/>
          <w:insideV w:color="0432ff" w:space="0" w:sz="8" w:val="single"/>
        </w:tblBorders>
        <w:tblLayout w:type="fixed"/>
        <w:tblLook w:val="0000"/>
      </w:tblPr>
      <w:tblGrid>
        <w:gridCol w:w="3139"/>
        <w:gridCol w:w="4709"/>
        <w:gridCol w:w="7848"/>
        <w:tblGridChange w:id="0">
          <w:tblGrid>
            <w:gridCol w:w="3139"/>
            <w:gridCol w:w="4709"/>
            <w:gridCol w:w="7848"/>
          </w:tblGrid>
        </w:tblGridChange>
      </w:tblGrid>
      <w:tr>
        <w:trPr>
          <w:cantSplit w:val="0"/>
          <w:trHeight w:val="312"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00099"/>
                <w:sz w:val="24"/>
                <w:szCs w:val="24"/>
                <w:u w:val="none"/>
                <w:shd w:fill="auto" w:val="clear"/>
                <w:vertAlign w:val="baseline"/>
                <w:rtl w:val="0"/>
              </w:rPr>
              <w:t xml:space="preserve">Modulo 2 : </w:t>
            </w:r>
            <w:r w:rsidDel="00000000" w:rsidR="00000000" w:rsidRPr="00000000">
              <w:rPr>
                <w:rFonts w:ascii="Verdana" w:cs="Verdana" w:eastAsia="Verdana" w:hAnsi="Verdana"/>
                <w:b w:val="1"/>
                <w:i w:val="0"/>
                <w:smallCaps w:val="1"/>
                <w:strike w:val="0"/>
                <w:color w:val="000099"/>
                <w:sz w:val="24"/>
                <w:szCs w:val="24"/>
                <w:u w:val="none"/>
                <w:shd w:fill="auto" w:val="clear"/>
                <w:vertAlign w:val="baseline"/>
                <w:rtl w:val="0"/>
              </w:rPr>
              <w:t xml:space="preserve">LA PROPRIETA’</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0">
            <w:pPr>
              <w:keepNext w:val="0"/>
              <w:keepLines w:val="0"/>
              <w:widowControl w:val="0"/>
              <w:shd w:fill="auto" w:val="clear"/>
              <w:spacing w:after="0" w:before="0" w:line="240" w:lineRule="auto"/>
              <w:ind w:left="0" w:right="0" w:firstLine="0"/>
              <w:jc w:val="both"/>
              <w:rPr/>
            </w:pPr>
            <w:r w:rsidDel="00000000" w:rsidR="00000000" w:rsidRPr="00000000">
              <w:rPr>
                <w:rFonts w:ascii="Verdana" w:cs="Verdana" w:eastAsia="Verdana" w:hAnsi="Verdana"/>
                <w:b w:val="0"/>
                <w:i w:val="0"/>
                <w:smallCaps w:val="0"/>
                <w:strike w:val="0"/>
                <w:color w:val="011ea9"/>
                <w:sz w:val="16"/>
                <w:szCs w:val="16"/>
                <w:u w:val="none"/>
                <w:shd w:fill="auto" w:val="clear"/>
                <w:vertAlign w:val="baseline"/>
                <w:rtl w:val="0"/>
              </w:rPr>
              <w:t xml:space="preserve">I DIRITTI REALI</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4642"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Redigere relazioni tecniche  e documentare le attività individuali e di gruppo relative a situazioni professionali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princìpi costituzionali in materia di proprietà privata</w:t>
            </w:r>
          </w:p>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Il contenuto del diritto di proprietà: facoltà di godimento e di disposizione</w:t>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Gli effetti giuridici del possesso</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limiti del diritto di proprietà nell’interesse pubblico  e nell’interesse privato</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modi di acquisto della proprietà a titolo derivativo e originario</w:t>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presupposti, la disciplina e gli effetti delle azioni a difesa della proprietà e del possesso</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comunione dei diritti</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disciplina legale della comproprietà</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Il condominio degli edifici</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caratteristiche e le differenze dei diritti reali su una cosa altrui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le modalità  di esercizio e i limiti del diritto di proprietà</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Distinguere le situazioni  di fatto dalle situazioni di diritto</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Confrontare i presupposti  e gli effetti dei diversi modi  di acquisto della proprietà</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la funzione  e le caratteristiche di una comunione di diritti,  di una comproprietà e di un condominio</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Distinguere i diritti reali  di godimento dal diritto  di proprietà</w:t>
            </w:r>
            <w:r w:rsidDel="00000000" w:rsidR="00000000" w:rsidRPr="00000000">
              <w:rPr>
                <w:rtl w:val="0"/>
              </w:rPr>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Strumenti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99"/>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6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6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6B">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6C">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6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6E">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3"/>
        <w:tblW w:w="15696.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39"/>
        <w:gridCol w:w="4709"/>
        <w:gridCol w:w="7848"/>
        <w:tblGridChange w:id="0">
          <w:tblGrid>
            <w:gridCol w:w="3139"/>
            <w:gridCol w:w="4709"/>
            <w:gridCol w:w="7848"/>
          </w:tblGrid>
        </w:tblGridChange>
      </w:tblGrid>
      <w:tr>
        <w:trPr>
          <w:cantSplit w:val="0"/>
          <w:trHeight w:val="312"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00099"/>
                <w:sz w:val="24"/>
                <w:szCs w:val="24"/>
                <w:u w:val="none"/>
                <w:shd w:fill="auto" w:val="clear"/>
                <w:vertAlign w:val="baseline"/>
                <w:rtl w:val="0"/>
              </w:rPr>
              <w:t xml:space="preserve">Modulo 3  : </w:t>
            </w:r>
            <w:r w:rsidDel="00000000" w:rsidR="00000000" w:rsidRPr="00000000">
              <w:rPr>
                <w:rFonts w:ascii="Verdana" w:cs="Verdana" w:eastAsia="Verdana" w:hAnsi="Verdana"/>
                <w:b w:val="1"/>
                <w:i w:val="0"/>
                <w:smallCaps w:val="0"/>
                <w:strike w:val="0"/>
                <w:color w:val="000099"/>
                <w:sz w:val="24"/>
                <w:szCs w:val="24"/>
                <w:u w:val="none"/>
                <w:shd w:fill="auto" w:val="clear"/>
                <w:vertAlign w:val="baseline"/>
                <w:rtl w:val="0"/>
              </w:rPr>
              <w:t xml:space="preserve">LE OBBLIGAZIONI</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0">
            <w:pPr>
              <w:keepNext w:val="0"/>
              <w:keepLines w:val="0"/>
              <w:widowControl w:val="0"/>
              <w:shd w:fill="auto" w:val="clear"/>
              <w:spacing w:after="0" w:before="0" w:line="240" w:lineRule="auto"/>
              <w:ind w:left="0" w:right="0" w:firstLine="0"/>
              <w:jc w:val="left"/>
              <w:rPr/>
            </w:pPr>
            <w:r w:rsidDel="00000000" w:rsidR="00000000" w:rsidRPr="00000000">
              <w:rPr>
                <w:rFonts w:ascii="Century Gothic" w:cs="Century Gothic" w:eastAsia="Century Gothic" w:hAnsi="Century Gothic"/>
                <w:b w:val="0"/>
                <w:i w:val="0"/>
                <w:smallCaps w:val="1"/>
                <w:strike w:val="0"/>
                <w:color w:val="000099"/>
                <w:sz w:val="16"/>
                <w:szCs w:val="16"/>
                <w:u w:val="none"/>
                <w:shd w:fill="auto" w:val="clear"/>
                <w:vertAlign w:val="baseline"/>
                <w:rtl w:val="0"/>
              </w:rPr>
              <w:t xml:space="preserve">DIRITTI DI CREDITO E IL RAPPORTO OBBLIGATORIO</w:t>
            </w:r>
            <w:r w:rsidDel="00000000" w:rsidR="00000000" w:rsidRPr="00000000">
              <w:rPr>
                <w:rtl w:val="0"/>
              </w:rPr>
            </w:r>
          </w:p>
        </w:tc>
      </w:tr>
      <w:tr>
        <w:trPr>
          <w:cantSplit w:val="0"/>
          <w:trHeight w:val="250"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Redigere relazioni tecniche e documentare le attività individuali e di gruppo relative a situazioni professionali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diritti di credito e le obbligazioni</w:t>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classificazione  delle obbligazioni</w:t>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obbligazioni pecuniarie</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L’adempimento e l’inadempimento delle obbligazioni</w:t>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conseguenze dell’inadempimento:  il risarcimento del danno,  la liquidazione e la tutela  del credito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distinguere le diverse tipologie di rapporti di credito  e le relative responsabilità</w:t>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 applicare le clausole relative alle modalità di adempimento e gli effetti dell’eventuale inadempimento a situazioni reali</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e applicare le azioni a difesa del credito in un rapporto obbligatorio</w:t>
            </w:r>
            <w:r w:rsidDel="00000000" w:rsidR="00000000" w:rsidRPr="00000000">
              <w:rPr>
                <w:rtl w:val="0"/>
              </w:rPr>
            </w:r>
          </w:p>
        </w:tc>
      </w:tr>
      <w:tr>
        <w:trPr>
          <w:cantSplit w:val="0"/>
          <w:trHeight w:val="237"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Stumenti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9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9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9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9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9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w:t>
            </w:r>
            <w:r w:rsidDel="00000000" w:rsidR="00000000" w:rsidRPr="00000000">
              <w:rPr>
                <w:rtl w:val="0"/>
              </w:rPr>
            </w:r>
          </w:p>
        </w:tc>
      </w:tr>
    </w:tbl>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4"/>
        <w:tblW w:w="15696.0" w:type="dxa"/>
        <w:jc w:val="left"/>
        <w:tblInd w:w="108.0" w:type="dxa"/>
        <w:tblBorders>
          <w:top w:color="ffffff" w:space="0" w:sz="8" w:val="single"/>
          <w:left w:color="ffffff" w:space="0" w:sz="8" w:val="single"/>
          <w:bottom w:color="ffffff" w:space="0" w:sz="8" w:val="single"/>
          <w:right w:color="ffffff" w:space="0" w:sz="8" w:val="single"/>
          <w:insideH w:color="ffffff" w:space="0" w:sz="8" w:val="single"/>
          <w:insideV w:color="ffffff" w:space="0" w:sz="8" w:val="single"/>
        </w:tblBorders>
        <w:tblLayout w:type="fixed"/>
        <w:tblLook w:val="0000"/>
      </w:tblPr>
      <w:tblGrid>
        <w:gridCol w:w="3139"/>
        <w:gridCol w:w="4709"/>
        <w:gridCol w:w="7848"/>
        <w:tblGridChange w:id="0">
          <w:tblGrid>
            <w:gridCol w:w="3139"/>
            <w:gridCol w:w="4709"/>
            <w:gridCol w:w="7848"/>
          </w:tblGrid>
        </w:tblGridChange>
      </w:tblGrid>
      <w:tr>
        <w:trPr>
          <w:cantSplit w:val="0"/>
          <w:trHeight w:val="312"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1"/>
                <w:i w:val="0"/>
                <w:smallCaps w:val="1"/>
                <w:strike w:val="0"/>
                <w:color w:val="011ea9"/>
                <w:sz w:val="24"/>
                <w:szCs w:val="24"/>
                <w:u w:val="none"/>
                <w:shd w:fill="auto" w:val="clear"/>
                <w:vertAlign w:val="baseline"/>
                <w:rtl w:val="0"/>
              </w:rPr>
              <w:t xml:space="preserve">Modulo 4 : </w:t>
            </w:r>
            <w:r w:rsidDel="00000000" w:rsidR="00000000" w:rsidRPr="00000000">
              <w:rPr>
                <w:rFonts w:ascii="Verdana" w:cs="Verdana" w:eastAsia="Verdana" w:hAnsi="Verdana"/>
                <w:b w:val="1"/>
                <w:i w:val="0"/>
                <w:smallCaps w:val="1"/>
                <w:strike w:val="0"/>
                <w:color w:val="011ea9"/>
                <w:sz w:val="24"/>
                <w:szCs w:val="24"/>
                <w:u w:val="none"/>
                <w:shd w:fill="auto" w:val="clear"/>
                <w:vertAlign w:val="baseline"/>
                <w:rtl w:val="0"/>
              </w:rPr>
              <w:t xml:space="preserve">IL CONTRATTO</w:t>
            </w:r>
            <w:r w:rsidDel="00000000" w:rsidR="00000000" w:rsidRPr="00000000">
              <w:rPr>
                <w:rtl w:val="0"/>
              </w:rPr>
            </w:r>
          </w:p>
        </w:tc>
      </w:tr>
      <w:tr>
        <w:trPr>
          <w:cantSplit w:val="0"/>
          <w:trHeight w:val="237" w:hRule="atLeast"/>
          <w:tblHeader w:val="1"/>
        </w:trPr>
        <w:tc>
          <w:tcPr>
            <w:gridSpan w:val="3"/>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AA">
            <w:pPr>
              <w:keepNext w:val="0"/>
              <w:keepLines w:val="0"/>
              <w:widowControl w:val="0"/>
              <w:shd w:fill="auto" w:val="clear"/>
              <w:spacing w:after="0" w:before="0" w:line="240" w:lineRule="auto"/>
              <w:ind w:left="0" w:right="0" w:firstLine="0"/>
              <w:jc w:val="left"/>
              <w:rPr/>
            </w:pPr>
            <w:r w:rsidDel="00000000" w:rsidR="00000000" w:rsidRPr="00000000">
              <w:rPr>
                <w:rFonts w:ascii="Century Gothic" w:cs="Century Gothic" w:eastAsia="Century Gothic" w:hAnsi="Century Gothic"/>
                <w:b w:val="0"/>
                <w:i w:val="0"/>
                <w:smallCaps w:val="1"/>
                <w:strike w:val="0"/>
                <w:color w:val="000099"/>
                <w:sz w:val="16"/>
                <w:szCs w:val="16"/>
                <w:u w:val="none"/>
                <w:shd w:fill="auto" w:val="clear"/>
                <w:vertAlign w:val="baseline"/>
                <w:rtl w:val="0"/>
              </w:rPr>
              <w:t xml:space="preserve">CARATTERI DEL CONTRATTO ,LE PARTI E LA FORMA.  CONTRATTI TIPICI E ATIPICI</w:t>
            </w:r>
            <w:r w:rsidDel="00000000" w:rsidR="00000000" w:rsidRPr="00000000">
              <w:rPr>
                <w:rtl w:val="0"/>
              </w:rPr>
            </w:r>
          </w:p>
        </w:tc>
      </w:tr>
      <w:tr>
        <w:trPr>
          <w:cantSplit w:val="0"/>
          <w:trHeight w:val="255" w:hRule="atLeast"/>
          <w:tblHeader w:val="1"/>
        </w:trPr>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Competenze :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Conoscenze</w:t>
            </w: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entury Gothic" w:cs="Century Gothic" w:eastAsia="Century Gothic" w:hAnsi="Century Gothic"/>
                <w:b w:val="0"/>
                <w:i w:val="0"/>
                <w:smallCaps w:val="1"/>
                <w:strike w:val="0"/>
                <w:color w:val="000099"/>
                <w:sz w:val="20"/>
                <w:szCs w:val="20"/>
                <w:u w:val="none"/>
                <w:shd w:fill="auto" w:val="clear"/>
                <w:vertAlign w:val="baseline"/>
                <w:rtl w:val="0"/>
              </w:rPr>
              <w:t xml:space="preserve">Abilità</w:t>
            </w:r>
            <w:r w:rsidDel="00000000" w:rsidR="00000000" w:rsidRPr="00000000">
              <w:rPr>
                <w:rtl w:val="0"/>
              </w:rPr>
            </w:r>
          </w:p>
        </w:tc>
      </w:tr>
      <w:tr>
        <w:trPr>
          <w:cantSplit w:val="0"/>
          <w:trHeight w:val="3550" w:hRule="atLeast"/>
          <w:tblHeader w:val="0"/>
        </w:trPr>
        <w:tc>
          <w:tcPr>
            <w:tcBorders>
              <w:top w:color="000000" w:space="0" w:sz="4" w:val="single"/>
              <w:left w:color="000000" w:space="0" w:sz="4" w:val="single"/>
              <w:bottom w:color="000000" w:space="0" w:sz="0" w:val="nil"/>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e utilizzare gli strumenti di comunicazione  e di team working più appropriati per intervenire nei contesti organizzativi e professionali  di riferimento.</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Redigere relazioni tecniche  e documentare le attività individuali e di gruppo relative a situazioni professionali</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s>
              <w:spacing w:after="60" w:before="60" w:line="240" w:lineRule="auto"/>
              <w:ind w:left="0" w:right="0" w:firstLine="0"/>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0" w:val="nil"/>
              <w:right w:color="000000" w:space="0" w:sz="4" w:val="single"/>
            </w:tcBorders>
            <w:shd w:fill="auto" w:val="clear"/>
            <w:tcMar>
              <w:top w:w="80.0" w:type="dxa"/>
              <w:left w:w="193.0" w:type="dxa"/>
              <w:bottom w:w="80.0" w:type="dxa"/>
              <w:right w:w="80.0" w:type="dxa"/>
            </w:tcMar>
            <w:vAlign w:val="top"/>
          </w:tcPr>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struttura del contratto</w:t>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formazione del contratto</w:t>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L’estinzione del contratto</w:t>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compravendita</w:t>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contratti di fornitura di beni e servizi</w:t>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contratti bancari</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contratti di assicurazione  e gli altri contratti tipici</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La legislazione in materia  di turismo</w:t>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 contratti del settore turistico</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Gli altri contratti di rilevanza turistica</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nella realtà quotidiana le tipologie contrattuali di uso frequente</w:t>
            </w:r>
          </w:p>
          <w:p w:rsidR="00000000" w:rsidDel="00000000" w:rsidP="00000000" w:rsidRDefault="00000000" w:rsidRPr="00000000" w14:paraId="000000B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Sapere precisare il momento  in cui viene concluso in concreto un contratto</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Comprendere il contenuto  e la funzione della normativa a tutela del contraente più debole</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Individuare le ipotesi  di invalidità e inefficacia  del contratto </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Riconoscere le caratteristiche giuridiche delle diverse forme contrattuali</w:t>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s>
              <w:spacing w:after="60" w:before="60" w:line="240" w:lineRule="auto"/>
              <w:ind w:left="113" w:right="0" w:hanging="113"/>
              <w:jc w:val="left"/>
              <w:rPr>
                <w:rFonts w:ascii="Helvetica Neue" w:cs="Helvetica Neue" w:eastAsia="Helvetica Neue" w:hAnsi="Helvetica Neue"/>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Analizzare, interpretare  e redigere schemi contrattuali</w:t>
            </w:r>
            <w:r w:rsidDel="00000000" w:rsidR="00000000" w:rsidRPr="00000000">
              <w:rPr>
                <w:rtl w:val="0"/>
              </w:rPr>
            </w:r>
          </w:p>
        </w:tc>
      </w:tr>
      <w:tr>
        <w:trPr>
          <w:cantSplit w:val="0"/>
          <w:trHeight w:val="237" w:hRule="atLeast"/>
          <w:tblHeader w:val="0"/>
        </w:trPr>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Strumenti</w:t>
            </w:r>
            <w:r w:rsidDel="00000000" w:rsidR="00000000" w:rsidRPr="00000000">
              <w:rPr>
                <w:rtl w:val="0"/>
              </w:rPr>
            </w:r>
          </w:p>
        </w:tc>
        <w:tc>
          <w:tcPr>
            <w:tcBorders>
              <w:top w:color="000000" w:space="0" w:sz="0" w:val="nil"/>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Metodologie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c0c0c0" w:val="clear"/>
            <w:tcMar>
              <w:top w:w="80.0" w:type="dxa"/>
              <w:left w:w="80.0" w:type="dxa"/>
              <w:bottom w:w="80.0" w:type="dxa"/>
              <w:right w:w="80.0" w:type="dxa"/>
            </w:tcMar>
            <w:vAlign w:val="center"/>
          </w:tcPr>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1"/>
                <w:strike w:val="0"/>
                <w:color w:val="000000"/>
                <w:sz w:val="20"/>
                <w:szCs w:val="20"/>
                <w:u w:val="none"/>
                <w:shd w:fill="auto" w:val="clear"/>
                <w:vertAlign w:val="baseline"/>
                <w:rtl w:val="0"/>
              </w:rPr>
              <w:t xml:space="preserve">Verifiche</w:t>
            </w:r>
            <w:r w:rsidDel="00000000" w:rsidR="00000000" w:rsidRPr="00000000">
              <w:rPr>
                <w:rtl w:val="0"/>
              </w:rPr>
            </w:r>
          </w:p>
        </w:tc>
      </w:tr>
      <w:tr>
        <w:trPr>
          <w:cantSplit w:val="0"/>
          <w:trHeight w:val="2034"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80.0" w:type="dxa"/>
              <w:left w:w="92.0" w:type="dxa"/>
              <w:bottom w:w="80.0" w:type="dxa"/>
              <w:right w:w="80.0" w:type="dxa"/>
            </w:tcMar>
            <w:vAlign w:val="top"/>
          </w:tcPr>
          <w:p w:rsidR="00000000" w:rsidDel="00000000" w:rsidP="00000000" w:rsidRDefault="00000000" w:rsidRPr="00000000" w14:paraId="000000C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Libro di testo;</w:t>
            </w:r>
          </w:p>
          <w:p w:rsidR="00000000" w:rsidDel="00000000" w:rsidP="00000000" w:rsidRDefault="00000000" w:rsidRPr="00000000" w14:paraId="000000C7">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Costituzione e codici;</w:t>
            </w:r>
          </w:p>
          <w:p w:rsidR="00000000" w:rsidDel="00000000" w:rsidP="00000000" w:rsidRDefault="00000000" w:rsidRPr="00000000" w14:paraId="000000C8">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Appunti;</w:t>
            </w:r>
          </w:p>
          <w:p w:rsidR="00000000" w:rsidDel="00000000" w:rsidP="00000000" w:rsidRDefault="00000000" w:rsidRPr="00000000" w14:paraId="000000C9">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Lettura guidata di articoli di stampa;</w:t>
            </w:r>
          </w:p>
          <w:p w:rsidR="00000000" w:rsidDel="00000000" w:rsidP="00000000" w:rsidRDefault="00000000" w:rsidRPr="00000000" w14:paraId="000000CA">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Ricerca sul web;</w:t>
            </w:r>
          </w:p>
          <w:p w:rsidR="00000000" w:rsidDel="00000000" w:rsidP="00000000" w:rsidRDefault="00000000" w:rsidRPr="00000000" w14:paraId="000000CB">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color w:val="000000"/>
                <w:sz w:val="20"/>
                <w:szCs w:val="20"/>
                <w:u w:val="no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Brainstorming.</w:t>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Lezione frontale, lezione partecipata, problem solving, lavori di gruppo anche su web.</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80.0" w:type="dxa"/>
              <w:left w:w="80.0" w:type="dxa"/>
              <w:bottom w:w="80.0" w:type="dxa"/>
              <w:right w:w="80.0" w:type="dxa"/>
            </w:tcMar>
            <w:vAlign w:val="top"/>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Le verifiche saranno formative e sommative. Le prime servono a verificare il livello di apprendimento della classe, possono consistere in attività di gruppo e nell’analisi di situazioni concrete vicine alla realtà degli studenti. Le seconde possono avere carattere non strutturato, strutturato o semistrutturato. Alle verifiche tradizionali si aggiungono le prove di accertamento delle competenze.</w:t>
            </w:r>
            <w:r w:rsidDel="00000000" w:rsidR="00000000" w:rsidRPr="00000000">
              <w:rPr>
                <w:rtl w:val="0"/>
              </w:rPr>
            </w:r>
          </w:p>
        </w:tc>
      </w:tr>
    </w:tbl>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15"/>
        </w:tabs>
        <w:spacing w:after="0" w:before="0" w:line="240" w:lineRule="auto"/>
        <w:ind w:left="0" w:right="0" w:firstLine="0"/>
        <w:jc w:val="left"/>
        <w:rPr/>
      </w:pPr>
      <w:r w:rsidDel="00000000" w:rsidR="00000000" w:rsidRPr="00000000">
        <w:rPr>
          <w:rtl w:val="0"/>
        </w:rPr>
      </w:r>
    </w:p>
    <w:sectPr>
      <w:headerReference r:id="rId7" w:type="default"/>
      <w:footerReference r:id="rId8" w:type="default"/>
      <w:pgSz w:h="11900" w:w="16840" w:orient="landscape"/>
      <w:pgMar w:bottom="567" w:top="567" w:left="567" w:right="567"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w:font w:name="Verdana"/>
  <w:font w:name="Cambria"/>
  <w:font w:name="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Helvetica Neue">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Noto Sans Symbols">
    <w:embedRegular w:fontKey="{00000000-0000-0000-0000-000000000000}" r:id="rId13" w:subsetted="0"/>
    <w:embedBold w:fontKey="{00000000-0000-0000-0000-000000000000}" r:id="rId14" w:subsetted="0"/>
  </w:font>
  <w:font w:name="Century Gothic">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4">
    <w:pPr>
      <w:keepNext w:val="0"/>
      <w:keepLines w:val="0"/>
      <w:pageBreakBefore w:val="0"/>
      <w:widowControl w:val="0"/>
      <w:pBdr>
        <w:top w:color="622423" w:space="0" w:sz="24" w:val="single"/>
        <w:left w:space="0" w:sz="0" w:val="nil"/>
        <w:bottom w:space="0" w:sz="0" w:val="nil"/>
        <w:right w:space="0" w:sz="0" w:val="nil"/>
        <w:between w:space="0" w:sz="0" w:val="nil"/>
      </w:pBdr>
      <w:shd w:fill="auto" w:val="clear"/>
      <w:tabs>
        <w:tab w:val="center" w:leader="none" w:pos="4819"/>
        <w:tab w:val="right" w:leader="none" w:pos="9638"/>
        <w:tab w:val="right" w:leader="none" w:pos="15686"/>
      </w:tabs>
      <w:spacing w:after="0" w:before="0" w:line="240" w:lineRule="auto"/>
      <w:ind w:left="0" w:right="0" w:firstLine="0"/>
      <w:jc w:val="left"/>
      <w:rPr>
        <w:rFonts w:ascii="Cambria" w:cs="Cambria" w:eastAsia="Cambria" w:hAnsi="Cambria"/>
        <w:b w:val="0"/>
        <w:i w:val="0"/>
        <w:smallCaps w:val="0"/>
        <w:strike w:val="0"/>
        <w:color w:val="000000"/>
        <w:sz w:val="24"/>
        <w:szCs w:val="24"/>
        <w:u w:val="none"/>
        <w:shd w:fill="auto" w:val="clear"/>
        <w:vertAlign w:val="baseline"/>
      </w:rPr>
    </w:pPr>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 xml:space="preserve">DIRITTO – 3° TUR . </w:t>
    </w:r>
  </w:p>
  <w:p w:rsidR="00000000" w:rsidDel="00000000" w:rsidP="00000000" w:rsidRDefault="00000000" w:rsidRPr="00000000" w14:paraId="000000D5">
    <w:pPr>
      <w:keepNext w:val="0"/>
      <w:keepLines w:val="0"/>
      <w:pageBreakBefore w:val="0"/>
      <w:widowControl w:val="0"/>
      <w:pBdr>
        <w:top w:color="622423" w:space="0" w:sz="24" w:val="single"/>
        <w:left w:space="0" w:sz="0" w:val="nil"/>
        <w:bottom w:space="0" w:sz="0" w:val="nil"/>
        <w:right w:space="0" w:sz="0" w:val="nil"/>
        <w:between w:space="0" w:sz="0" w:val="nil"/>
      </w:pBdr>
      <w:shd w:fill="auto" w:val="clear"/>
      <w:tabs>
        <w:tab w:val="center" w:leader="none" w:pos="4819"/>
        <w:tab w:val="right" w:leader="none" w:pos="9638"/>
        <w:tab w:val="right" w:leader="none" w:pos="15686"/>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mbria" w:cs="Cambria" w:eastAsia="Cambria" w:hAnsi="Cambria"/>
        <w:b w:val="0"/>
        <w:i w:val="0"/>
        <w:smallCaps w:val="0"/>
        <w:strike w:val="0"/>
        <w:color w:val="000000"/>
        <w:sz w:val="24"/>
        <w:szCs w:val="24"/>
        <w:u w:val="none"/>
        <w:shd w:fill="auto" w:val="clear"/>
        <w:vertAlign w:val="baseline"/>
        <w:rtl w:val="0"/>
      </w:rPr>
      <w:tab/>
      <w:t xml:space="preserve">Pagina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9020"/>
      </w:tabs>
      <w:spacing w:after="0" w:before="0" w:line="240" w:lineRule="auto"/>
      <w:ind w:left="0" w:right="0" w:firstLine="0"/>
      <w:jc w:val="left"/>
      <w:rPr>
        <w:rFonts w:ascii="Helvetica Neue" w:cs="Helvetica Neue" w:eastAsia="Helvetica Neue" w:hAnsi="Helvetica Neue"/>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2">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3">
    <w:lvl w:ilvl="0">
      <w:start w:val="1"/>
      <w:numFmt w:val="bullet"/>
      <w:lvlText w:val="•"/>
      <w:lvlJc w:val="left"/>
      <w:pPr>
        <w:ind w:left="271" w:hanging="271"/>
      </w:pPr>
      <w:rPr>
        <w:smallCaps w:val="0"/>
        <w:strike w:val="0"/>
        <w:shd w:fill="auto" w:val="clear"/>
        <w:vertAlign w:val="baseline"/>
      </w:rPr>
    </w:lvl>
    <w:lvl w:ilvl="1">
      <w:start w:val="1"/>
      <w:numFmt w:val="bullet"/>
      <w:lvlText w:val="•"/>
      <w:lvlJc w:val="left"/>
      <w:pPr>
        <w:ind w:left="871" w:hanging="271.0000000000001"/>
      </w:pPr>
      <w:rPr>
        <w:smallCaps w:val="0"/>
        <w:strike w:val="0"/>
        <w:shd w:fill="auto" w:val="clear"/>
        <w:vertAlign w:val="baseline"/>
      </w:rPr>
    </w:lvl>
    <w:lvl w:ilvl="2">
      <w:start w:val="1"/>
      <w:numFmt w:val="bullet"/>
      <w:lvlText w:val="•"/>
      <w:lvlJc w:val="left"/>
      <w:pPr>
        <w:ind w:left="1471" w:hanging="271"/>
      </w:pPr>
      <w:rPr>
        <w:smallCaps w:val="0"/>
        <w:strike w:val="0"/>
        <w:shd w:fill="auto" w:val="clear"/>
        <w:vertAlign w:val="baseline"/>
      </w:rPr>
    </w:lvl>
    <w:lvl w:ilvl="3">
      <w:start w:val="1"/>
      <w:numFmt w:val="bullet"/>
      <w:lvlText w:val="•"/>
      <w:lvlJc w:val="left"/>
      <w:pPr>
        <w:ind w:left="2071" w:hanging="271"/>
      </w:pPr>
      <w:rPr>
        <w:smallCaps w:val="0"/>
        <w:strike w:val="0"/>
        <w:shd w:fill="auto" w:val="clear"/>
        <w:vertAlign w:val="baseline"/>
      </w:rPr>
    </w:lvl>
    <w:lvl w:ilvl="4">
      <w:start w:val="1"/>
      <w:numFmt w:val="bullet"/>
      <w:lvlText w:val="•"/>
      <w:lvlJc w:val="left"/>
      <w:pPr>
        <w:ind w:left="2671" w:hanging="270.99999999999955"/>
      </w:pPr>
      <w:rPr>
        <w:smallCaps w:val="0"/>
        <w:strike w:val="0"/>
        <w:shd w:fill="auto" w:val="clear"/>
        <w:vertAlign w:val="baseline"/>
      </w:rPr>
    </w:lvl>
    <w:lvl w:ilvl="5">
      <w:start w:val="1"/>
      <w:numFmt w:val="bullet"/>
      <w:lvlText w:val="•"/>
      <w:lvlJc w:val="left"/>
      <w:pPr>
        <w:ind w:left="3271" w:hanging="271"/>
      </w:pPr>
      <w:rPr>
        <w:smallCaps w:val="0"/>
        <w:strike w:val="0"/>
        <w:shd w:fill="auto" w:val="clear"/>
        <w:vertAlign w:val="baseline"/>
      </w:rPr>
    </w:lvl>
    <w:lvl w:ilvl="6">
      <w:start w:val="1"/>
      <w:numFmt w:val="bullet"/>
      <w:lvlText w:val="•"/>
      <w:lvlJc w:val="left"/>
      <w:pPr>
        <w:ind w:left="3871" w:hanging="271"/>
      </w:pPr>
      <w:rPr>
        <w:smallCaps w:val="0"/>
        <w:strike w:val="0"/>
        <w:shd w:fill="auto" w:val="clear"/>
        <w:vertAlign w:val="baseline"/>
      </w:rPr>
    </w:lvl>
    <w:lvl w:ilvl="7">
      <w:start w:val="1"/>
      <w:numFmt w:val="bullet"/>
      <w:lvlText w:val="•"/>
      <w:lvlJc w:val="left"/>
      <w:pPr>
        <w:ind w:left="4471" w:hanging="271"/>
      </w:pPr>
      <w:rPr>
        <w:smallCaps w:val="0"/>
        <w:strike w:val="0"/>
        <w:shd w:fill="auto" w:val="clear"/>
        <w:vertAlign w:val="baseline"/>
      </w:rPr>
    </w:lvl>
    <w:lvl w:ilvl="8">
      <w:start w:val="1"/>
      <w:numFmt w:val="bullet"/>
      <w:lvlText w:val="•"/>
      <w:lvlJc w:val="left"/>
      <w:pPr>
        <w:ind w:left="5071" w:hanging="271"/>
      </w:pPr>
      <w:rPr>
        <w:smallCaps w:val="0"/>
        <w:strike w:val="0"/>
        <w:shd w:fill="auto" w:val="clear"/>
        <w:vertAlign w:val="baseline"/>
      </w:rPr>
    </w:lvl>
  </w:abstractNum>
  <w:abstractNum w:abstractNumId="4">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abstractNum w:abstractNumId="5">
    <w:lvl w:ilvl="0">
      <w:start w:val="1"/>
      <w:numFmt w:val="bullet"/>
      <w:lvlText w:val="✓"/>
      <w:lvlJc w:val="left"/>
      <w:pPr>
        <w:ind w:left="720" w:hanging="360"/>
      </w:pPr>
      <w:rPr>
        <w:rFonts w:ascii="Arimo" w:cs="Arimo" w:eastAsia="Arimo" w:hAnsi="Arimo"/>
        <w:b w:val="0"/>
        <w:i w:val="0"/>
        <w:smallCaps w:val="0"/>
        <w:strike w:val="0"/>
        <w:shd w:fill="auto" w:val="clear"/>
        <w:vertAlign w:val="baseline"/>
      </w:rPr>
    </w:lvl>
    <w:lvl w:ilvl="1">
      <w:start w:val="1"/>
      <w:numFmt w:val="bullet"/>
      <w:lvlText w:val="□"/>
      <w:lvlJc w:val="left"/>
      <w:pPr>
        <w:ind w:left="1428" w:hanging="347.9999999999998"/>
      </w:pPr>
      <w:rPr>
        <w:rFonts w:ascii="Noto Sans Symbols" w:cs="Noto Sans Symbols" w:eastAsia="Noto Sans Symbols" w:hAnsi="Noto Sans Symbols"/>
        <w:b w:val="0"/>
        <w:i w:val="0"/>
        <w:smallCaps w:val="0"/>
        <w:strike w:val="0"/>
        <w:shd w:fill="auto" w:val="clear"/>
        <w:vertAlign w:val="baseline"/>
      </w:rPr>
    </w:lvl>
    <w:lvl w:ilvl="2">
      <w:start w:val="1"/>
      <w:numFmt w:val="bullet"/>
      <w:lvlText w:val="▪"/>
      <w:lvlJc w:val="left"/>
      <w:pPr>
        <w:ind w:left="2136" w:hanging="336"/>
      </w:pPr>
      <w:rPr>
        <w:rFonts w:ascii="Arimo" w:cs="Arimo" w:eastAsia="Arimo" w:hAnsi="Arimo"/>
        <w:b w:val="0"/>
        <w:i w:val="0"/>
        <w:smallCaps w:val="0"/>
        <w:strike w:val="0"/>
        <w:shd w:fill="auto" w:val="clear"/>
        <w:vertAlign w:val="baseline"/>
      </w:rPr>
    </w:lvl>
    <w:lvl w:ilvl="3">
      <w:start w:val="1"/>
      <w:numFmt w:val="bullet"/>
      <w:lvlText w:val="•"/>
      <w:lvlJc w:val="left"/>
      <w:pPr>
        <w:ind w:left="2844" w:hanging="324.00000000000045"/>
      </w:pPr>
      <w:rPr>
        <w:rFonts w:ascii="Arimo" w:cs="Arimo" w:eastAsia="Arimo" w:hAnsi="Arimo"/>
        <w:b w:val="0"/>
        <w:i w:val="0"/>
        <w:smallCaps w:val="0"/>
        <w:strike w:val="0"/>
        <w:shd w:fill="auto" w:val="clear"/>
        <w:vertAlign w:val="baseline"/>
      </w:rPr>
    </w:lvl>
    <w:lvl w:ilvl="4">
      <w:start w:val="1"/>
      <w:numFmt w:val="bullet"/>
      <w:lvlText w:val="□"/>
      <w:lvlJc w:val="left"/>
      <w:pPr>
        <w:ind w:left="3552" w:hanging="312"/>
      </w:pPr>
      <w:rPr>
        <w:rFonts w:ascii="Noto Sans Symbols" w:cs="Noto Sans Symbols" w:eastAsia="Noto Sans Symbols" w:hAnsi="Noto Sans Symbols"/>
        <w:b w:val="0"/>
        <w:i w:val="0"/>
        <w:smallCaps w:val="0"/>
        <w:strike w:val="0"/>
        <w:shd w:fill="auto" w:val="clear"/>
        <w:vertAlign w:val="baseline"/>
      </w:rPr>
    </w:lvl>
    <w:lvl w:ilvl="5">
      <w:start w:val="1"/>
      <w:numFmt w:val="bullet"/>
      <w:lvlText w:val="▪"/>
      <w:lvlJc w:val="left"/>
      <w:pPr>
        <w:ind w:left="4260" w:hanging="300"/>
      </w:pPr>
      <w:rPr>
        <w:rFonts w:ascii="Arimo" w:cs="Arimo" w:eastAsia="Arimo" w:hAnsi="Arimo"/>
        <w:b w:val="0"/>
        <w:i w:val="0"/>
        <w:smallCaps w:val="0"/>
        <w:strike w:val="0"/>
        <w:shd w:fill="auto" w:val="clear"/>
        <w:vertAlign w:val="baseline"/>
      </w:rPr>
    </w:lvl>
    <w:lvl w:ilvl="6">
      <w:start w:val="1"/>
      <w:numFmt w:val="bullet"/>
      <w:lvlText w:val="•"/>
      <w:lvlJc w:val="left"/>
      <w:pPr>
        <w:ind w:left="4968" w:hanging="288"/>
      </w:pPr>
      <w:rPr>
        <w:rFonts w:ascii="Arimo" w:cs="Arimo" w:eastAsia="Arimo" w:hAnsi="Arimo"/>
        <w:b w:val="0"/>
        <w:i w:val="0"/>
        <w:smallCaps w:val="0"/>
        <w:strike w:val="0"/>
        <w:shd w:fill="auto" w:val="clear"/>
        <w:vertAlign w:val="baseline"/>
      </w:rPr>
    </w:lvl>
    <w:lvl w:ilvl="7">
      <w:start w:val="1"/>
      <w:numFmt w:val="bullet"/>
      <w:lvlText w:val="□"/>
      <w:lvlJc w:val="left"/>
      <w:pPr>
        <w:ind w:left="5676" w:hanging="276"/>
      </w:pPr>
      <w:rPr>
        <w:rFonts w:ascii="Noto Sans Symbols" w:cs="Noto Sans Symbols" w:eastAsia="Noto Sans Symbols" w:hAnsi="Noto Sans Symbols"/>
        <w:b w:val="0"/>
        <w:i w:val="0"/>
        <w:smallCaps w:val="0"/>
        <w:strike w:val="0"/>
        <w:shd w:fill="auto" w:val="clear"/>
        <w:vertAlign w:val="baseline"/>
      </w:rPr>
    </w:lvl>
    <w:lvl w:ilvl="8">
      <w:start w:val="1"/>
      <w:numFmt w:val="bullet"/>
      <w:lvlText w:val="▪"/>
      <w:lvlJc w:val="left"/>
      <w:pPr>
        <w:ind w:left="6384" w:hanging="264"/>
      </w:pPr>
      <w:rPr>
        <w:rFonts w:ascii="Arimo" w:cs="Arimo" w:eastAsia="Arimo" w:hAnsi="Arimo"/>
        <w:b w:val="0"/>
        <w:i w:val="0"/>
        <w:smallCaps w:val="0"/>
        <w:strike w:val="0"/>
        <w:shd w:fill="auto" w:val="clear"/>
        <w:vertAlign w:val="baseli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it-IT"/>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jpg"/><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1" Type="http://schemas.openxmlformats.org/officeDocument/2006/relationships/font" Target="fonts/HelveticaNeue-italic.ttf"/><Relationship Id="rId10" Type="http://schemas.openxmlformats.org/officeDocument/2006/relationships/font" Target="fonts/HelveticaNeue-bold.ttf"/><Relationship Id="rId13" Type="http://schemas.openxmlformats.org/officeDocument/2006/relationships/font" Target="fonts/NotoSansSymbols-regular.ttf"/><Relationship Id="rId12" Type="http://schemas.openxmlformats.org/officeDocument/2006/relationships/font" Target="fonts/HelveticaNeue-boldItalic.ttf"/><Relationship Id="rId1" Type="http://schemas.openxmlformats.org/officeDocument/2006/relationships/font" Target="fonts/Garamond-regular.ttf"/><Relationship Id="rId2" Type="http://schemas.openxmlformats.org/officeDocument/2006/relationships/font" Target="fonts/Garamond-bold.ttf"/><Relationship Id="rId3" Type="http://schemas.openxmlformats.org/officeDocument/2006/relationships/font" Target="fonts/Garamond-italic.ttf"/><Relationship Id="rId4" Type="http://schemas.openxmlformats.org/officeDocument/2006/relationships/font" Target="fonts/Garamond-boldItalic.ttf"/><Relationship Id="rId9" Type="http://schemas.openxmlformats.org/officeDocument/2006/relationships/font" Target="fonts/HelveticaNeue-regular.ttf"/><Relationship Id="rId15" Type="http://schemas.openxmlformats.org/officeDocument/2006/relationships/font" Target="fonts/CenturyGothic-regular.ttf"/><Relationship Id="rId14" Type="http://schemas.openxmlformats.org/officeDocument/2006/relationships/font" Target="fonts/NotoSansSymbols-bold.ttf"/><Relationship Id="rId17" Type="http://schemas.openxmlformats.org/officeDocument/2006/relationships/font" Target="fonts/CenturyGothic-italic.ttf"/><Relationship Id="rId16" Type="http://schemas.openxmlformats.org/officeDocument/2006/relationships/font" Target="fonts/CenturyGothic-bold.ttf"/><Relationship Id="rId5" Type="http://schemas.openxmlformats.org/officeDocument/2006/relationships/font" Target="fonts/Arimo-regular.ttf"/><Relationship Id="rId6" Type="http://schemas.openxmlformats.org/officeDocument/2006/relationships/font" Target="fonts/Arimo-bold.ttf"/><Relationship Id="rId18" Type="http://schemas.openxmlformats.org/officeDocument/2006/relationships/font" Target="fonts/CenturyGothic-boldItalic.ttf"/><Relationship Id="rId7" Type="http://schemas.openxmlformats.org/officeDocument/2006/relationships/font" Target="fonts/Arimo-italic.ttf"/><Relationship Id="rId8"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